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AF" w:rsidRDefault="002649AF" w:rsidP="00024D62">
      <w:pPr>
        <w:rPr>
          <w:b/>
        </w:rPr>
      </w:pPr>
      <w:r>
        <w:rPr>
          <w:b/>
        </w:rPr>
        <w:t xml:space="preserve">                                                         </w:t>
      </w:r>
    </w:p>
    <w:p w:rsidR="002649AF" w:rsidRDefault="002649AF" w:rsidP="00024D62">
      <w:pPr>
        <w:rPr>
          <w:b/>
        </w:rPr>
      </w:pPr>
      <w:r>
        <w:rPr>
          <w:b/>
        </w:rPr>
        <w:t xml:space="preserve">                                                                   </w:t>
      </w:r>
    </w:p>
    <w:p w:rsidR="002649AF" w:rsidRDefault="002649AF" w:rsidP="00024D62">
      <w:pPr>
        <w:rPr>
          <w:b/>
        </w:rPr>
      </w:pPr>
    </w:p>
    <w:p w:rsidR="00024D62" w:rsidRPr="002649AF" w:rsidRDefault="00024D62" w:rsidP="002649AF">
      <w:pPr>
        <w:jc w:val="center"/>
        <w:rPr>
          <w:rFonts w:ascii="Century Gothic" w:hAnsi="Century Gothic"/>
          <w:b/>
        </w:rPr>
      </w:pPr>
      <w:r w:rsidRPr="002649AF">
        <w:rPr>
          <w:rFonts w:ascii="Century Gothic" w:hAnsi="Century Gothic"/>
          <w:b/>
        </w:rPr>
        <w:t>Deposit Product</w:t>
      </w:r>
    </w:p>
    <w:p w:rsidR="00024D62" w:rsidRPr="00024D62" w:rsidRDefault="00024D62" w:rsidP="00024D62">
      <w:pPr>
        <w:rPr>
          <w:b/>
          <w:sz w:val="24"/>
          <w:szCs w:val="24"/>
        </w:rPr>
      </w:pPr>
      <w:r w:rsidRPr="00024D62">
        <w:rPr>
          <w:b/>
          <w:sz w:val="24"/>
          <w:szCs w:val="24"/>
        </w:rPr>
        <w:t xml:space="preserve">                                                   </w:t>
      </w:r>
    </w:p>
    <w:p w:rsidR="00024D62" w:rsidRDefault="00024D62"/>
    <w:p w:rsidR="00024D62" w:rsidRDefault="00024D62"/>
    <w:tbl>
      <w:tblPr>
        <w:tblStyle w:val="TableGrid"/>
        <w:tblpPr w:leftFromText="180" w:rightFromText="180" w:vertAnchor="text" w:horzAnchor="margin" w:tblpXSpec="center" w:tblpY="-1438"/>
        <w:tblW w:w="11401" w:type="dxa"/>
        <w:tblLayout w:type="fixed"/>
        <w:tblLook w:val="04A0" w:firstRow="1" w:lastRow="0" w:firstColumn="1" w:lastColumn="0" w:noHBand="0" w:noVBand="1"/>
      </w:tblPr>
      <w:tblGrid>
        <w:gridCol w:w="1255"/>
        <w:gridCol w:w="2880"/>
        <w:gridCol w:w="2790"/>
        <w:gridCol w:w="4476"/>
      </w:tblGrid>
      <w:tr w:rsidR="00024D62" w:rsidTr="00A043D7">
        <w:trPr>
          <w:trHeight w:val="440"/>
        </w:trPr>
        <w:tc>
          <w:tcPr>
            <w:tcW w:w="1255" w:type="dxa"/>
          </w:tcPr>
          <w:p w:rsidR="00024D62" w:rsidRPr="002649AF" w:rsidRDefault="00024D62" w:rsidP="001C6E93">
            <w:pPr>
              <w:pStyle w:val="Default"/>
              <w:rPr>
                <w:rFonts w:ascii="Century Gothic" w:hAnsi="Century Gothic"/>
                <w:b/>
                <w:color w:val="222222"/>
                <w:sz w:val="21"/>
                <w:szCs w:val="21"/>
                <w:shd w:val="clear" w:color="auto" w:fill="FFFFFF"/>
              </w:rPr>
            </w:pPr>
            <w:r w:rsidRPr="002649AF">
              <w:rPr>
                <w:rFonts w:ascii="Century Gothic" w:hAnsi="Century Gothic"/>
                <w:b/>
                <w:color w:val="222222"/>
                <w:sz w:val="21"/>
                <w:szCs w:val="21"/>
                <w:shd w:val="clear" w:color="auto" w:fill="FFFFFF"/>
              </w:rPr>
              <w:t>Product</w:t>
            </w:r>
          </w:p>
        </w:tc>
        <w:tc>
          <w:tcPr>
            <w:tcW w:w="2880" w:type="dxa"/>
          </w:tcPr>
          <w:p w:rsidR="00024D62" w:rsidRPr="002649AF" w:rsidRDefault="00024D62" w:rsidP="001C6E93">
            <w:pPr>
              <w:pStyle w:val="Default"/>
              <w:rPr>
                <w:rFonts w:ascii="Century Gothic" w:hAnsi="Century Gothic"/>
                <w:b/>
                <w:color w:val="222222"/>
                <w:sz w:val="21"/>
                <w:szCs w:val="21"/>
                <w:shd w:val="clear" w:color="auto" w:fill="FFFFFF"/>
              </w:rPr>
            </w:pPr>
            <w:r w:rsidRPr="002649AF">
              <w:rPr>
                <w:rFonts w:ascii="Century Gothic" w:hAnsi="Century Gothic"/>
                <w:b/>
                <w:color w:val="222222"/>
                <w:sz w:val="21"/>
                <w:szCs w:val="21"/>
                <w:shd w:val="clear" w:color="auto" w:fill="FFFFFF"/>
              </w:rPr>
              <w:t>Modus Operandi</w:t>
            </w:r>
          </w:p>
        </w:tc>
        <w:tc>
          <w:tcPr>
            <w:tcW w:w="2790" w:type="dxa"/>
          </w:tcPr>
          <w:p w:rsidR="00024D62" w:rsidRPr="002649AF" w:rsidRDefault="00024D62" w:rsidP="001C6E93">
            <w:pPr>
              <w:pStyle w:val="Default"/>
              <w:rPr>
                <w:rFonts w:ascii="Century Gothic" w:hAnsi="Century Gothic"/>
                <w:b/>
                <w:color w:val="222222"/>
                <w:sz w:val="21"/>
                <w:szCs w:val="21"/>
                <w:shd w:val="clear" w:color="auto" w:fill="FFFFFF"/>
              </w:rPr>
            </w:pPr>
            <w:r w:rsidRPr="002649AF">
              <w:rPr>
                <w:rFonts w:ascii="Century Gothic" w:hAnsi="Century Gothic"/>
                <w:b/>
                <w:color w:val="222222"/>
                <w:sz w:val="21"/>
                <w:szCs w:val="21"/>
                <w:shd w:val="clear" w:color="auto" w:fill="FFFFFF"/>
              </w:rPr>
              <w:t>Usage</w:t>
            </w:r>
          </w:p>
        </w:tc>
        <w:tc>
          <w:tcPr>
            <w:tcW w:w="4476" w:type="dxa"/>
          </w:tcPr>
          <w:p w:rsidR="00024D62" w:rsidRPr="002649AF" w:rsidRDefault="00024D62" w:rsidP="001C6E93">
            <w:pPr>
              <w:pStyle w:val="Default"/>
              <w:rPr>
                <w:rFonts w:ascii="Century Gothic" w:hAnsi="Century Gothic"/>
                <w:b/>
                <w:color w:val="222222"/>
                <w:sz w:val="21"/>
                <w:szCs w:val="21"/>
                <w:shd w:val="clear" w:color="auto" w:fill="FFFFFF"/>
              </w:rPr>
            </w:pPr>
            <w:r w:rsidRPr="002649AF">
              <w:rPr>
                <w:rFonts w:ascii="Century Gothic" w:hAnsi="Century Gothic"/>
                <w:b/>
                <w:color w:val="222222"/>
                <w:sz w:val="21"/>
                <w:szCs w:val="21"/>
                <w:shd w:val="clear" w:color="auto" w:fill="FFFFFF"/>
              </w:rPr>
              <w:t xml:space="preserve">Difference from Conventional </w:t>
            </w:r>
            <w:r w:rsidR="00544226">
              <w:rPr>
                <w:rFonts w:ascii="Century Gothic" w:hAnsi="Century Gothic"/>
                <w:b/>
                <w:color w:val="222222"/>
                <w:sz w:val="21"/>
                <w:szCs w:val="21"/>
                <w:shd w:val="clear" w:color="auto" w:fill="FFFFFF"/>
              </w:rPr>
              <w:t xml:space="preserve">Products </w:t>
            </w:r>
          </w:p>
        </w:tc>
      </w:tr>
      <w:tr w:rsidR="00024D62" w:rsidTr="00A043D7">
        <w:trPr>
          <w:trHeight w:val="2319"/>
        </w:trPr>
        <w:tc>
          <w:tcPr>
            <w:tcW w:w="1255" w:type="dxa"/>
          </w:tcPr>
          <w:p w:rsidR="00024D62" w:rsidRPr="00024D62" w:rsidRDefault="00024D62" w:rsidP="00024D62">
            <w:pPr>
              <w:pStyle w:val="Default"/>
              <w:jc w:val="both"/>
              <w:rPr>
                <w:rFonts w:ascii="Century Gothic" w:hAnsi="Century Gothic"/>
                <w:color w:val="222222"/>
                <w:sz w:val="21"/>
                <w:szCs w:val="21"/>
                <w:shd w:val="clear" w:color="auto" w:fill="FFFFFF"/>
              </w:rPr>
            </w:pPr>
            <w:r w:rsidRPr="00024D62">
              <w:rPr>
                <w:rFonts w:ascii="Century Gothic" w:hAnsi="Century Gothic"/>
                <w:color w:val="222222"/>
                <w:sz w:val="21"/>
                <w:szCs w:val="21"/>
                <w:shd w:val="clear" w:color="auto" w:fill="FFFFFF"/>
              </w:rPr>
              <w:t xml:space="preserve">Current Account </w:t>
            </w:r>
          </w:p>
          <w:p w:rsidR="00024D62" w:rsidRPr="00024D62" w:rsidRDefault="00024D62" w:rsidP="00024D62">
            <w:pPr>
              <w:jc w:val="both"/>
              <w:rPr>
                <w:rFonts w:ascii="Century Gothic" w:hAnsi="Century Gothic" w:cs="Calibri"/>
                <w:color w:val="222222"/>
                <w:sz w:val="21"/>
                <w:szCs w:val="21"/>
                <w:shd w:val="clear" w:color="auto" w:fill="FFFFFF"/>
              </w:rPr>
            </w:pPr>
          </w:p>
        </w:tc>
        <w:tc>
          <w:tcPr>
            <w:tcW w:w="2880" w:type="dxa"/>
          </w:tcPr>
          <w:p w:rsidR="00024D62" w:rsidRPr="00024D62" w:rsidRDefault="00024D62" w:rsidP="00024D62">
            <w:pPr>
              <w:pStyle w:val="Default"/>
              <w:jc w:val="both"/>
              <w:rPr>
                <w:rFonts w:ascii="Century Gothic" w:hAnsi="Century Gothic"/>
                <w:color w:val="222222"/>
                <w:sz w:val="21"/>
                <w:szCs w:val="21"/>
                <w:shd w:val="clear" w:color="auto" w:fill="FFFFFF"/>
              </w:rPr>
            </w:pPr>
            <w:r w:rsidRPr="00024D62">
              <w:rPr>
                <w:rFonts w:ascii="Century Gothic" w:hAnsi="Century Gothic"/>
                <w:color w:val="222222"/>
                <w:sz w:val="21"/>
                <w:szCs w:val="21"/>
                <w:shd w:val="clear" w:color="auto" w:fill="FFFFFF"/>
              </w:rPr>
              <w:t xml:space="preserve">A checking account where customer deposits funds based on the concept of (Qard) loan and Bank is liable to repay customer its deposited amount upon demand without any benefit or profit. </w:t>
            </w:r>
          </w:p>
          <w:p w:rsidR="00024D62" w:rsidRPr="00024D62" w:rsidRDefault="00024D62" w:rsidP="00024D62">
            <w:pPr>
              <w:pStyle w:val="Default"/>
              <w:jc w:val="both"/>
              <w:rPr>
                <w:rFonts w:ascii="Century Gothic" w:hAnsi="Century Gothic"/>
                <w:color w:val="222222"/>
                <w:sz w:val="21"/>
                <w:szCs w:val="21"/>
                <w:shd w:val="clear" w:color="auto" w:fill="FFFFFF"/>
              </w:rPr>
            </w:pPr>
          </w:p>
        </w:tc>
        <w:tc>
          <w:tcPr>
            <w:tcW w:w="2790" w:type="dxa"/>
          </w:tcPr>
          <w:p w:rsidR="00024D62" w:rsidRPr="00024D62" w:rsidRDefault="00024D62" w:rsidP="00024D62">
            <w:pPr>
              <w:pStyle w:val="Default"/>
              <w:jc w:val="both"/>
              <w:rPr>
                <w:rFonts w:ascii="Century Gothic" w:hAnsi="Century Gothic"/>
                <w:color w:val="222222"/>
                <w:sz w:val="21"/>
                <w:szCs w:val="21"/>
                <w:shd w:val="clear" w:color="auto" w:fill="FFFFFF"/>
              </w:rPr>
            </w:pPr>
            <w:r w:rsidRPr="00024D62">
              <w:rPr>
                <w:rFonts w:ascii="Century Gothic" w:hAnsi="Century Gothic"/>
                <w:color w:val="222222"/>
                <w:sz w:val="21"/>
                <w:szCs w:val="21"/>
                <w:shd w:val="clear" w:color="auto" w:fill="FFFFFF"/>
              </w:rPr>
              <w:t>Daily banking n</w:t>
            </w:r>
            <w:r w:rsidR="002649AF">
              <w:rPr>
                <w:rFonts w:ascii="Century Gothic" w:hAnsi="Century Gothic"/>
                <w:color w:val="222222"/>
                <w:sz w:val="21"/>
                <w:szCs w:val="21"/>
                <w:shd w:val="clear" w:color="auto" w:fill="FFFFFF"/>
              </w:rPr>
              <w:t>eeds of individuals/institution</w:t>
            </w:r>
            <w:r w:rsidRPr="00024D62">
              <w:rPr>
                <w:rFonts w:ascii="Century Gothic" w:hAnsi="Century Gothic"/>
                <w:color w:val="222222"/>
                <w:sz w:val="21"/>
                <w:szCs w:val="21"/>
                <w:shd w:val="clear" w:color="auto" w:fill="FFFFFF"/>
              </w:rPr>
              <w:t xml:space="preserve">. </w:t>
            </w:r>
          </w:p>
          <w:p w:rsidR="00024D62" w:rsidRPr="00024D62" w:rsidRDefault="00024D62" w:rsidP="00024D62">
            <w:pPr>
              <w:pStyle w:val="Default"/>
              <w:jc w:val="both"/>
              <w:rPr>
                <w:rFonts w:ascii="Century Gothic" w:hAnsi="Century Gothic"/>
                <w:color w:val="222222"/>
                <w:sz w:val="21"/>
                <w:szCs w:val="21"/>
                <w:shd w:val="clear" w:color="auto" w:fill="FFFFFF"/>
              </w:rPr>
            </w:pPr>
          </w:p>
        </w:tc>
        <w:tc>
          <w:tcPr>
            <w:tcW w:w="4476" w:type="dxa"/>
          </w:tcPr>
          <w:p w:rsidR="00024D62" w:rsidRPr="00024D62" w:rsidRDefault="00024D62" w:rsidP="00024D62">
            <w:pPr>
              <w:pStyle w:val="Default"/>
              <w:jc w:val="both"/>
              <w:rPr>
                <w:rFonts w:ascii="Century Gothic" w:hAnsi="Century Gothic"/>
                <w:color w:val="222222"/>
                <w:sz w:val="21"/>
                <w:szCs w:val="21"/>
                <w:shd w:val="clear" w:color="auto" w:fill="FFFFFF"/>
              </w:rPr>
            </w:pPr>
            <w:r w:rsidRPr="00024D62">
              <w:rPr>
                <w:rFonts w:ascii="Century Gothic" w:hAnsi="Century Gothic"/>
                <w:color w:val="222222"/>
                <w:sz w:val="21"/>
                <w:szCs w:val="21"/>
                <w:shd w:val="clear" w:color="auto" w:fill="FFFFFF"/>
              </w:rPr>
              <w:t xml:space="preserve">No current account exclusive benefit of any nature (monetary or non-monetary) can be given to depositors as opposed to conventional current account. </w:t>
            </w:r>
          </w:p>
          <w:p w:rsidR="00024D62" w:rsidRPr="00024D62" w:rsidRDefault="00024D62" w:rsidP="00024D62">
            <w:pPr>
              <w:pStyle w:val="Default"/>
              <w:jc w:val="both"/>
              <w:rPr>
                <w:rFonts w:ascii="Century Gothic" w:hAnsi="Century Gothic"/>
                <w:color w:val="222222"/>
                <w:sz w:val="21"/>
                <w:szCs w:val="21"/>
                <w:shd w:val="clear" w:color="auto" w:fill="FFFFFF"/>
              </w:rPr>
            </w:pPr>
            <w:r w:rsidRPr="00024D62">
              <w:rPr>
                <w:rFonts w:ascii="Century Gothic" w:hAnsi="Century Gothic"/>
                <w:color w:val="222222"/>
                <w:sz w:val="21"/>
                <w:szCs w:val="21"/>
                <w:shd w:val="clear" w:color="auto" w:fill="FFFFFF"/>
              </w:rPr>
              <w:t>The deposit amount is only invested in Shariah-compliant avenues as opposed to interest-based investments</w:t>
            </w:r>
            <w:r w:rsidR="008C3B33">
              <w:rPr>
                <w:rFonts w:ascii="Century Gothic" w:hAnsi="Century Gothic"/>
                <w:color w:val="222222"/>
                <w:sz w:val="21"/>
                <w:szCs w:val="21"/>
                <w:shd w:val="clear" w:color="auto" w:fill="FFFFFF"/>
              </w:rPr>
              <w:t>.</w:t>
            </w:r>
            <w:r w:rsidRPr="00024D62">
              <w:rPr>
                <w:rFonts w:ascii="Century Gothic" w:hAnsi="Century Gothic"/>
                <w:color w:val="222222"/>
                <w:sz w:val="21"/>
                <w:szCs w:val="21"/>
                <w:shd w:val="clear" w:color="auto" w:fill="FFFFFF"/>
              </w:rPr>
              <w:t xml:space="preserve"> </w:t>
            </w:r>
          </w:p>
          <w:p w:rsidR="00024D62" w:rsidRDefault="00024D62" w:rsidP="001C6E93">
            <w:pPr>
              <w:pStyle w:val="Default"/>
              <w:rPr>
                <w:sz w:val="22"/>
                <w:szCs w:val="22"/>
              </w:rPr>
            </w:pPr>
          </w:p>
        </w:tc>
      </w:tr>
      <w:tr w:rsidR="00024D62" w:rsidTr="00A043D7">
        <w:trPr>
          <w:trHeight w:val="3145"/>
        </w:trPr>
        <w:tc>
          <w:tcPr>
            <w:tcW w:w="1255" w:type="dxa"/>
          </w:tcPr>
          <w:p w:rsidR="00024D62" w:rsidRPr="00024D62" w:rsidRDefault="00024D62" w:rsidP="00024D62">
            <w:pPr>
              <w:pStyle w:val="Default"/>
              <w:jc w:val="both"/>
              <w:rPr>
                <w:rFonts w:ascii="Century Gothic" w:hAnsi="Century Gothic"/>
                <w:color w:val="222222"/>
                <w:sz w:val="21"/>
                <w:szCs w:val="21"/>
                <w:shd w:val="clear" w:color="auto" w:fill="FFFFFF"/>
              </w:rPr>
            </w:pPr>
            <w:r w:rsidRPr="00024D62">
              <w:rPr>
                <w:rFonts w:ascii="Century Gothic" w:hAnsi="Century Gothic"/>
                <w:color w:val="222222"/>
                <w:sz w:val="21"/>
                <w:szCs w:val="21"/>
                <w:shd w:val="clear" w:color="auto" w:fill="FFFFFF"/>
              </w:rPr>
              <w:t xml:space="preserve">Saving Account </w:t>
            </w:r>
          </w:p>
          <w:p w:rsidR="00024D62" w:rsidRPr="00024D62" w:rsidRDefault="00024D62" w:rsidP="00024D62">
            <w:pPr>
              <w:pStyle w:val="Default"/>
              <w:jc w:val="both"/>
              <w:rPr>
                <w:rFonts w:ascii="Century Gothic" w:hAnsi="Century Gothic"/>
                <w:color w:val="222222"/>
                <w:sz w:val="21"/>
                <w:szCs w:val="21"/>
                <w:shd w:val="clear" w:color="auto" w:fill="FFFFFF"/>
              </w:rPr>
            </w:pPr>
          </w:p>
        </w:tc>
        <w:tc>
          <w:tcPr>
            <w:tcW w:w="2880" w:type="dxa"/>
          </w:tcPr>
          <w:p w:rsidR="00024D62" w:rsidRPr="00024D62" w:rsidRDefault="00024D62" w:rsidP="00024D62">
            <w:pPr>
              <w:pStyle w:val="Default"/>
              <w:jc w:val="both"/>
              <w:rPr>
                <w:rFonts w:ascii="Century Gothic" w:hAnsi="Century Gothic"/>
                <w:color w:val="222222"/>
                <w:sz w:val="21"/>
                <w:szCs w:val="21"/>
                <w:shd w:val="clear" w:color="auto" w:fill="FFFFFF"/>
              </w:rPr>
            </w:pPr>
            <w:r w:rsidRPr="00024D62">
              <w:rPr>
                <w:rFonts w:ascii="Century Gothic" w:hAnsi="Century Gothic"/>
                <w:color w:val="222222"/>
                <w:sz w:val="21"/>
                <w:szCs w:val="21"/>
                <w:shd w:val="clear" w:color="auto" w:fill="FFFFFF"/>
              </w:rPr>
              <w:t xml:space="preserve"> </w:t>
            </w:r>
            <w:r w:rsidR="00A043D7" w:rsidRPr="00024D62">
              <w:rPr>
                <w:rFonts w:ascii="Century Gothic" w:hAnsi="Century Gothic"/>
                <w:color w:val="222222"/>
                <w:sz w:val="21"/>
                <w:szCs w:val="21"/>
                <w:shd w:val="clear" w:color="auto" w:fill="FFFFFF"/>
              </w:rPr>
              <w:t>Account</w:t>
            </w:r>
            <w:r w:rsidRPr="00024D62">
              <w:rPr>
                <w:rFonts w:ascii="Century Gothic" w:hAnsi="Century Gothic"/>
                <w:color w:val="222222"/>
                <w:sz w:val="21"/>
                <w:szCs w:val="21"/>
                <w:shd w:val="clear" w:color="auto" w:fill="FFFFFF"/>
              </w:rPr>
              <w:t xml:space="preserve"> where customer deposits money as a Rab-ul-Mal to the Bank </w:t>
            </w:r>
            <w:r w:rsidR="008C3B33">
              <w:rPr>
                <w:rFonts w:ascii="Century Gothic" w:hAnsi="Century Gothic"/>
                <w:color w:val="222222"/>
                <w:sz w:val="21"/>
                <w:szCs w:val="21"/>
                <w:shd w:val="clear" w:color="auto" w:fill="FFFFFF"/>
              </w:rPr>
              <w:t xml:space="preserve">and bank </w:t>
            </w:r>
            <w:r w:rsidRPr="00024D62">
              <w:rPr>
                <w:rFonts w:ascii="Century Gothic" w:hAnsi="Century Gothic"/>
                <w:color w:val="222222"/>
                <w:sz w:val="21"/>
                <w:szCs w:val="21"/>
                <w:shd w:val="clear" w:color="auto" w:fill="FFFFFF"/>
              </w:rPr>
              <w:t xml:space="preserve">as Mudarib invest in Shariah-compliant activities in accordance with contract of Mudarabah. The profit, if any, is shared as per the declared profit-sharing ratio and loss is borne by the Rab-ul-Maal. </w:t>
            </w:r>
          </w:p>
          <w:p w:rsidR="00024D62" w:rsidRPr="00024D62" w:rsidRDefault="00024D62" w:rsidP="00024D62">
            <w:pPr>
              <w:pStyle w:val="Default"/>
              <w:jc w:val="both"/>
              <w:rPr>
                <w:rFonts w:ascii="Century Gothic" w:hAnsi="Century Gothic"/>
                <w:color w:val="222222"/>
                <w:sz w:val="21"/>
                <w:szCs w:val="21"/>
                <w:shd w:val="clear" w:color="auto" w:fill="FFFFFF"/>
              </w:rPr>
            </w:pPr>
          </w:p>
        </w:tc>
        <w:tc>
          <w:tcPr>
            <w:tcW w:w="2790" w:type="dxa"/>
          </w:tcPr>
          <w:p w:rsidR="00024D62" w:rsidRPr="00024D62" w:rsidRDefault="00024D62" w:rsidP="00024D62">
            <w:pPr>
              <w:pStyle w:val="Default"/>
              <w:jc w:val="both"/>
              <w:rPr>
                <w:rFonts w:ascii="Century Gothic" w:hAnsi="Century Gothic"/>
                <w:color w:val="222222"/>
                <w:sz w:val="21"/>
                <w:szCs w:val="21"/>
                <w:shd w:val="clear" w:color="auto" w:fill="FFFFFF"/>
              </w:rPr>
            </w:pPr>
            <w:r w:rsidRPr="00024D62">
              <w:rPr>
                <w:rFonts w:ascii="Century Gothic" w:hAnsi="Century Gothic"/>
                <w:color w:val="222222"/>
                <w:sz w:val="21"/>
                <w:szCs w:val="21"/>
                <w:shd w:val="clear" w:color="auto" w:fill="FFFFFF"/>
              </w:rPr>
              <w:t xml:space="preserve">Daily banking and Investment need of individuals/institutions. </w:t>
            </w:r>
          </w:p>
          <w:p w:rsidR="00024D62" w:rsidRPr="00024D62" w:rsidRDefault="00024D62" w:rsidP="00024D62">
            <w:pPr>
              <w:pStyle w:val="Default"/>
              <w:jc w:val="both"/>
              <w:rPr>
                <w:rFonts w:ascii="Century Gothic" w:hAnsi="Century Gothic"/>
                <w:color w:val="222222"/>
                <w:sz w:val="21"/>
                <w:szCs w:val="21"/>
                <w:shd w:val="clear" w:color="auto" w:fill="FFFFFF"/>
              </w:rPr>
            </w:pPr>
          </w:p>
        </w:tc>
        <w:tc>
          <w:tcPr>
            <w:tcW w:w="4476" w:type="dxa"/>
            <w:vMerge w:val="restart"/>
          </w:tcPr>
          <w:p w:rsidR="00024D62" w:rsidRPr="00024D62" w:rsidRDefault="00024D62" w:rsidP="00194369">
            <w:pPr>
              <w:pStyle w:val="Default"/>
              <w:jc w:val="both"/>
              <w:rPr>
                <w:rFonts w:ascii="Century Gothic" w:hAnsi="Century Gothic"/>
                <w:color w:val="222222"/>
                <w:sz w:val="21"/>
                <w:szCs w:val="21"/>
                <w:shd w:val="clear" w:color="auto" w:fill="FFFFFF"/>
              </w:rPr>
            </w:pPr>
            <w:r>
              <w:rPr>
                <w:sz w:val="22"/>
                <w:szCs w:val="22"/>
              </w:rPr>
              <w:t xml:space="preserve"> </w:t>
            </w:r>
            <w:r>
              <w:rPr>
                <w:rFonts w:ascii="Century Gothic" w:hAnsi="Century Gothic"/>
                <w:color w:val="222222"/>
                <w:sz w:val="21"/>
                <w:szCs w:val="21"/>
                <w:shd w:val="clear" w:color="auto" w:fill="FFFFFF"/>
              </w:rPr>
              <w:t>The profit shall be divided in strict proportion agreed at the time of contract and no party shall be entitled to a predetermined amount of return or remuneration.</w:t>
            </w:r>
            <w:r w:rsidR="00194369">
              <w:rPr>
                <w:rFonts w:ascii="Century Gothic" w:hAnsi="Century Gothic"/>
                <w:color w:val="222222"/>
                <w:sz w:val="21"/>
                <w:szCs w:val="21"/>
                <w:shd w:val="clear" w:color="auto" w:fill="FFFFFF"/>
              </w:rPr>
              <w:t xml:space="preserve"> Moreover, the loss</w:t>
            </w:r>
            <w:r w:rsidR="007A0513">
              <w:rPr>
                <w:rFonts w:ascii="Century Gothic" w:hAnsi="Century Gothic"/>
                <w:color w:val="222222"/>
                <w:sz w:val="21"/>
                <w:szCs w:val="21"/>
                <w:shd w:val="clear" w:color="auto" w:fill="FFFFFF"/>
              </w:rPr>
              <w:t xml:space="preserve"> </w:t>
            </w:r>
            <w:r w:rsidR="00194369">
              <w:rPr>
                <w:rFonts w:ascii="Century Gothic" w:hAnsi="Century Gothic"/>
                <w:color w:val="222222"/>
                <w:sz w:val="21"/>
                <w:szCs w:val="21"/>
                <w:shd w:val="clear" w:color="auto" w:fill="FFFFFF"/>
              </w:rPr>
              <w:t>(if any) is borne as per capital ratio</w:t>
            </w:r>
            <w:r w:rsidR="00194369">
              <w:rPr>
                <w:sz w:val="22"/>
                <w:szCs w:val="22"/>
              </w:rPr>
              <w:t>.</w:t>
            </w:r>
            <w:r>
              <w:rPr>
                <w:sz w:val="22"/>
                <w:szCs w:val="22"/>
              </w:rPr>
              <w:t xml:space="preserve"> </w:t>
            </w:r>
            <w:r w:rsidRPr="00A043D7">
              <w:rPr>
                <w:rFonts w:ascii="Century Gothic" w:hAnsi="Century Gothic"/>
                <w:color w:val="222222"/>
                <w:sz w:val="21"/>
                <w:szCs w:val="21"/>
                <w:shd w:val="clear" w:color="auto" w:fill="FFFFFF"/>
              </w:rPr>
              <w:t xml:space="preserve">These accounts are based </w:t>
            </w:r>
            <w:r w:rsidRPr="00024D62">
              <w:rPr>
                <w:rFonts w:ascii="Century Gothic" w:hAnsi="Century Gothic"/>
                <w:color w:val="222222"/>
                <w:sz w:val="21"/>
                <w:szCs w:val="21"/>
                <w:shd w:val="clear" w:color="auto" w:fill="FFFFFF"/>
              </w:rPr>
              <w:t xml:space="preserve">on Mudarabah whereas their conventional counterparts are based on loan  The deposit amount is only invested in Shariah-compliant avenues as opposed to interest-based investments  Profit rate is not guaranteed </w:t>
            </w:r>
            <w:r>
              <w:rPr>
                <w:rFonts w:ascii="Century Gothic" w:hAnsi="Century Gothic"/>
                <w:color w:val="222222"/>
                <w:sz w:val="21"/>
                <w:szCs w:val="21"/>
                <w:shd w:val="clear" w:color="auto" w:fill="FFFFFF"/>
              </w:rPr>
              <w:t>.</w:t>
            </w:r>
          </w:p>
          <w:p w:rsidR="00024D62" w:rsidRDefault="00024D62" w:rsidP="00024D62">
            <w:pPr>
              <w:pStyle w:val="Default"/>
              <w:rPr>
                <w:sz w:val="22"/>
                <w:szCs w:val="22"/>
              </w:rPr>
            </w:pPr>
          </w:p>
        </w:tc>
      </w:tr>
      <w:tr w:rsidR="00024D62" w:rsidTr="00A043D7">
        <w:trPr>
          <w:trHeight w:val="3145"/>
        </w:trPr>
        <w:tc>
          <w:tcPr>
            <w:tcW w:w="1255" w:type="dxa"/>
          </w:tcPr>
          <w:p w:rsidR="00024D62" w:rsidRDefault="00024D62" w:rsidP="00024D62">
            <w:pPr>
              <w:pStyle w:val="Default"/>
              <w:jc w:val="both"/>
              <w:rPr>
                <w:sz w:val="22"/>
                <w:szCs w:val="22"/>
              </w:rPr>
            </w:pPr>
            <w:r>
              <w:rPr>
                <w:sz w:val="22"/>
                <w:szCs w:val="22"/>
              </w:rPr>
              <w:t>Riba Free Certificates</w:t>
            </w:r>
          </w:p>
          <w:p w:rsidR="00024D62" w:rsidRDefault="00024D62" w:rsidP="00024D62">
            <w:pPr>
              <w:pStyle w:val="Default"/>
              <w:jc w:val="both"/>
              <w:rPr>
                <w:sz w:val="22"/>
                <w:szCs w:val="22"/>
              </w:rPr>
            </w:pPr>
          </w:p>
          <w:p w:rsidR="00024D62" w:rsidRDefault="00024D62" w:rsidP="00024D62">
            <w:pPr>
              <w:pStyle w:val="Default"/>
              <w:jc w:val="both"/>
              <w:rPr>
                <w:sz w:val="22"/>
                <w:szCs w:val="22"/>
              </w:rPr>
            </w:pPr>
          </w:p>
        </w:tc>
        <w:tc>
          <w:tcPr>
            <w:tcW w:w="2880" w:type="dxa"/>
          </w:tcPr>
          <w:p w:rsidR="00024D62" w:rsidRPr="00024D62" w:rsidRDefault="00024D62" w:rsidP="00024D62">
            <w:pPr>
              <w:pStyle w:val="Default"/>
              <w:jc w:val="both"/>
              <w:rPr>
                <w:rFonts w:ascii="Century Gothic" w:hAnsi="Century Gothic"/>
                <w:color w:val="222222"/>
                <w:sz w:val="21"/>
                <w:szCs w:val="21"/>
                <w:shd w:val="clear" w:color="auto" w:fill="FFFFFF"/>
              </w:rPr>
            </w:pPr>
            <w:r w:rsidRPr="00024D62">
              <w:rPr>
                <w:rFonts w:ascii="Century Gothic" w:hAnsi="Century Gothic"/>
                <w:color w:val="222222"/>
                <w:sz w:val="21"/>
                <w:szCs w:val="21"/>
                <w:shd w:val="clear" w:color="auto" w:fill="FFFFFF"/>
              </w:rPr>
              <w:t xml:space="preserve">A fixed term certificate reflecting customer's investment as a Rab-ul-Mal to the Bank ( Mudarib) to invest in Shariah-compliant activities in accordance with contract of Mudarabah. The profit, if any, is shared as per the declared profit-sharing ratio and loss if borne by the Rab-ul-Maal. </w:t>
            </w:r>
          </w:p>
          <w:p w:rsidR="00024D62" w:rsidRDefault="00024D62" w:rsidP="001C6E93">
            <w:pPr>
              <w:pStyle w:val="Default"/>
              <w:rPr>
                <w:sz w:val="22"/>
                <w:szCs w:val="22"/>
              </w:rPr>
            </w:pPr>
          </w:p>
        </w:tc>
        <w:tc>
          <w:tcPr>
            <w:tcW w:w="2790" w:type="dxa"/>
          </w:tcPr>
          <w:p w:rsidR="00024D62" w:rsidRPr="00024D62" w:rsidRDefault="00024D62" w:rsidP="00024D62">
            <w:pPr>
              <w:pStyle w:val="Default"/>
              <w:jc w:val="both"/>
              <w:rPr>
                <w:rFonts w:ascii="Century Gothic" w:hAnsi="Century Gothic"/>
                <w:color w:val="222222"/>
                <w:sz w:val="21"/>
                <w:szCs w:val="21"/>
                <w:shd w:val="clear" w:color="auto" w:fill="FFFFFF"/>
              </w:rPr>
            </w:pPr>
            <w:r w:rsidRPr="00024D62">
              <w:rPr>
                <w:rFonts w:ascii="Century Gothic" w:hAnsi="Century Gothic"/>
                <w:color w:val="222222"/>
                <w:sz w:val="21"/>
                <w:szCs w:val="21"/>
                <w:shd w:val="clear" w:color="auto" w:fill="FFFFFF"/>
              </w:rPr>
              <w:t xml:space="preserve">Saving and investment needs. </w:t>
            </w:r>
          </w:p>
          <w:p w:rsidR="00024D62" w:rsidRDefault="00024D62" w:rsidP="001C6E93">
            <w:pPr>
              <w:pStyle w:val="Default"/>
              <w:rPr>
                <w:sz w:val="22"/>
                <w:szCs w:val="22"/>
              </w:rPr>
            </w:pPr>
          </w:p>
        </w:tc>
        <w:tc>
          <w:tcPr>
            <w:tcW w:w="4476" w:type="dxa"/>
            <w:vMerge/>
          </w:tcPr>
          <w:p w:rsidR="00024D62" w:rsidRDefault="00024D62" w:rsidP="001C6E93">
            <w:pPr>
              <w:pStyle w:val="Default"/>
              <w:rPr>
                <w:sz w:val="22"/>
                <w:szCs w:val="22"/>
              </w:rPr>
            </w:pPr>
          </w:p>
        </w:tc>
      </w:tr>
    </w:tbl>
    <w:p w:rsidR="000B0CBF" w:rsidRPr="00415B46" w:rsidRDefault="002649AF" w:rsidP="00A043D7">
      <w:pPr>
        <w:jc w:val="center"/>
      </w:pPr>
      <w:r w:rsidRPr="002649AF">
        <w:rPr>
          <w:b/>
        </w:rPr>
        <w:t>Financing Products</w:t>
      </w:r>
    </w:p>
    <w:tbl>
      <w:tblPr>
        <w:tblStyle w:val="TableGrid"/>
        <w:tblpPr w:leftFromText="180" w:rightFromText="180" w:vertAnchor="text" w:horzAnchor="margin" w:tblpXSpec="center" w:tblpY="-1438"/>
        <w:tblW w:w="11335" w:type="dxa"/>
        <w:tblLayout w:type="fixed"/>
        <w:tblLook w:val="04A0" w:firstRow="1" w:lastRow="0" w:firstColumn="1" w:lastColumn="0" w:noHBand="0" w:noVBand="1"/>
      </w:tblPr>
      <w:tblGrid>
        <w:gridCol w:w="1445"/>
        <w:gridCol w:w="2683"/>
        <w:gridCol w:w="2987"/>
        <w:gridCol w:w="4220"/>
      </w:tblGrid>
      <w:tr w:rsidR="00544226" w:rsidRPr="00415B46" w:rsidTr="00A043D7">
        <w:trPr>
          <w:trHeight w:val="440"/>
        </w:trPr>
        <w:tc>
          <w:tcPr>
            <w:tcW w:w="1445" w:type="dxa"/>
            <w:tcBorders>
              <w:top w:val="single" w:sz="4" w:space="0" w:color="auto"/>
              <w:left w:val="single" w:sz="4" w:space="0" w:color="auto"/>
              <w:bottom w:val="single" w:sz="4" w:space="0" w:color="auto"/>
            </w:tcBorders>
          </w:tcPr>
          <w:p w:rsidR="00544226" w:rsidRPr="00415B46" w:rsidRDefault="00544226" w:rsidP="00544226">
            <w:r w:rsidRPr="002649AF">
              <w:rPr>
                <w:rFonts w:ascii="Century Gothic" w:hAnsi="Century Gothic"/>
                <w:b/>
                <w:color w:val="222222"/>
                <w:sz w:val="21"/>
                <w:szCs w:val="21"/>
                <w:shd w:val="clear" w:color="auto" w:fill="FFFFFF"/>
              </w:rPr>
              <w:lastRenderedPageBreak/>
              <w:t>Product</w:t>
            </w:r>
          </w:p>
        </w:tc>
        <w:tc>
          <w:tcPr>
            <w:tcW w:w="2683" w:type="dxa"/>
            <w:tcBorders>
              <w:top w:val="single" w:sz="4" w:space="0" w:color="auto"/>
              <w:bottom w:val="single" w:sz="4" w:space="0" w:color="auto"/>
            </w:tcBorders>
          </w:tcPr>
          <w:p w:rsidR="00544226" w:rsidRPr="00415B46" w:rsidRDefault="00544226" w:rsidP="00544226">
            <w:r w:rsidRPr="002649AF">
              <w:rPr>
                <w:rFonts w:ascii="Century Gothic" w:hAnsi="Century Gothic"/>
                <w:b/>
                <w:color w:val="222222"/>
                <w:sz w:val="21"/>
                <w:szCs w:val="21"/>
                <w:shd w:val="clear" w:color="auto" w:fill="FFFFFF"/>
              </w:rPr>
              <w:t>Modus Operandi</w:t>
            </w:r>
          </w:p>
        </w:tc>
        <w:tc>
          <w:tcPr>
            <w:tcW w:w="2987" w:type="dxa"/>
            <w:tcBorders>
              <w:top w:val="single" w:sz="4" w:space="0" w:color="auto"/>
              <w:bottom w:val="single" w:sz="4" w:space="0" w:color="auto"/>
            </w:tcBorders>
          </w:tcPr>
          <w:p w:rsidR="00544226" w:rsidRPr="00415B46" w:rsidDel="008C3B33" w:rsidRDefault="00544226" w:rsidP="00544226">
            <w:r w:rsidRPr="002649AF">
              <w:rPr>
                <w:rFonts w:ascii="Century Gothic" w:hAnsi="Century Gothic"/>
                <w:b/>
                <w:color w:val="222222"/>
                <w:sz w:val="21"/>
                <w:szCs w:val="21"/>
                <w:shd w:val="clear" w:color="auto" w:fill="FFFFFF"/>
              </w:rPr>
              <w:t>Usage</w:t>
            </w:r>
          </w:p>
        </w:tc>
        <w:tc>
          <w:tcPr>
            <w:tcW w:w="4220" w:type="dxa"/>
            <w:tcBorders>
              <w:top w:val="single" w:sz="4" w:space="0" w:color="auto"/>
              <w:bottom w:val="single" w:sz="4" w:space="0" w:color="auto"/>
              <w:right w:val="single" w:sz="4" w:space="0" w:color="auto"/>
            </w:tcBorders>
          </w:tcPr>
          <w:p w:rsidR="00544226" w:rsidRPr="00415B46" w:rsidRDefault="00544226" w:rsidP="00544226">
            <w:r w:rsidRPr="002649AF">
              <w:rPr>
                <w:rFonts w:ascii="Century Gothic" w:hAnsi="Century Gothic"/>
                <w:b/>
                <w:color w:val="222222"/>
                <w:sz w:val="21"/>
                <w:szCs w:val="21"/>
                <w:shd w:val="clear" w:color="auto" w:fill="FFFFFF"/>
              </w:rPr>
              <w:t xml:space="preserve">Difference from Conventional </w:t>
            </w:r>
            <w:r>
              <w:rPr>
                <w:rFonts w:ascii="Century Gothic" w:hAnsi="Century Gothic"/>
                <w:b/>
                <w:color w:val="222222"/>
                <w:sz w:val="21"/>
                <w:szCs w:val="21"/>
                <w:shd w:val="clear" w:color="auto" w:fill="FFFFFF"/>
              </w:rPr>
              <w:t xml:space="preserve">Finance </w:t>
            </w:r>
          </w:p>
        </w:tc>
      </w:tr>
      <w:tr w:rsidR="00544226" w:rsidRPr="00415B46" w:rsidTr="00A043D7">
        <w:trPr>
          <w:trHeight w:val="1731"/>
        </w:trPr>
        <w:tc>
          <w:tcPr>
            <w:tcW w:w="1445" w:type="dxa"/>
            <w:tcBorders>
              <w:top w:val="single" w:sz="4" w:space="0" w:color="auto"/>
            </w:tcBorders>
          </w:tcPr>
          <w:p w:rsidR="00544226" w:rsidRPr="00415B46" w:rsidRDefault="00544226" w:rsidP="00544226">
            <w:pPr>
              <w:spacing w:after="160" w:line="259" w:lineRule="auto"/>
            </w:pPr>
            <w:r w:rsidRPr="00415B46">
              <w:t>Murabaha</w:t>
            </w:r>
          </w:p>
        </w:tc>
        <w:tc>
          <w:tcPr>
            <w:tcW w:w="2683" w:type="dxa"/>
            <w:tcBorders>
              <w:top w:val="single" w:sz="4" w:space="0" w:color="auto"/>
            </w:tcBorders>
          </w:tcPr>
          <w:p w:rsidR="00544226" w:rsidRPr="00415B46" w:rsidRDefault="00544226" w:rsidP="00544226">
            <w:pPr>
              <w:spacing w:after="160" w:line="259" w:lineRule="auto"/>
            </w:pPr>
            <w:r w:rsidRPr="00415B46">
              <w:t>Short-term facility where Bank sells specified goods/raw material to customer on deferred/spot payment basis by disclosing cost and profit.</w:t>
            </w:r>
          </w:p>
        </w:tc>
        <w:tc>
          <w:tcPr>
            <w:tcW w:w="2987" w:type="dxa"/>
            <w:tcBorders>
              <w:top w:val="single" w:sz="4" w:space="0" w:color="auto"/>
            </w:tcBorders>
          </w:tcPr>
          <w:p w:rsidR="00544226" w:rsidRPr="00415B46" w:rsidRDefault="00544226" w:rsidP="00544226">
            <w:pPr>
              <w:spacing w:after="160" w:line="259" w:lineRule="auto"/>
            </w:pPr>
          </w:p>
          <w:p w:rsidR="00544226" w:rsidRPr="00415B46" w:rsidRDefault="00544226" w:rsidP="00544226">
            <w:pPr>
              <w:spacing w:after="160" w:line="259" w:lineRule="auto"/>
            </w:pPr>
            <w:r w:rsidRPr="00415B46">
              <w:t xml:space="preserve">Requirement </w:t>
            </w:r>
            <w:r>
              <w:t xml:space="preserve">for </w:t>
            </w:r>
            <w:r w:rsidRPr="00415B46">
              <w:t xml:space="preserve">Working capital </w:t>
            </w:r>
            <w:r>
              <w:t xml:space="preserve">and </w:t>
            </w:r>
            <w:r w:rsidRPr="00415B46">
              <w:t xml:space="preserve">procurement </w:t>
            </w:r>
            <w:r>
              <w:t xml:space="preserve"> </w:t>
            </w:r>
            <w:r w:rsidRPr="00415B46">
              <w:t xml:space="preserve"> of raw materials and assets.</w:t>
            </w:r>
          </w:p>
          <w:p w:rsidR="00544226" w:rsidRPr="00415B46" w:rsidRDefault="00544226" w:rsidP="00544226">
            <w:pPr>
              <w:spacing w:after="160" w:line="259" w:lineRule="auto"/>
            </w:pPr>
            <w:r w:rsidRPr="00415B46">
              <w:t xml:space="preserve"> </w:t>
            </w:r>
          </w:p>
        </w:tc>
        <w:tc>
          <w:tcPr>
            <w:tcW w:w="4220" w:type="dxa"/>
            <w:vMerge w:val="restart"/>
            <w:tcBorders>
              <w:top w:val="single" w:sz="4" w:space="0" w:color="auto"/>
            </w:tcBorders>
          </w:tcPr>
          <w:p w:rsidR="00544226" w:rsidRPr="00415B46" w:rsidRDefault="00544226" w:rsidP="00544226">
            <w:pPr>
              <w:spacing w:after="160" w:line="259" w:lineRule="auto"/>
            </w:pPr>
          </w:p>
          <w:p w:rsidR="00544226" w:rsidRPr="00415B46" w:rsidRDefault="00544226" w:rsidP="00544226">
            <w:pPr>
              <w:spacing w:after="160" w:line="259" w:lineRule="auto"/>
            </w:pPr>
          </w:p>
          <w:p w:rsidR="00544226" w:rsidRPr="00415B46" w:rsidRDefault="00544226" w:rsidP="00544226">
            <w:pPr>
              <w:spacing w:after="160" w:line="259" w:lineRule="auto"/>
            </w:pPr>
          </w:p>
          <w:p w:rsidR="00544226" w:rsidRPr="00415B46" w:rsidRDefault="00544226" w:rsidP="00544226">
            <w:pPr>
              <w:spacing w:after="160" w:line="259" w:lineRule="auto"/>
            </w:pPr>
          </w:p>
          <w:p w:rsidR="00544226" w:rsidRPr="00415B46" w:rsidRDefault="00544226" w:rsidP="00544226">
            <w:pPr>
              <w:spacing w:after="160" w:line="259" w:lineRule="auto"/>
            </w:pPr>
          </w:p>
          <w:p w:rsidR="00544226" w:rsidRPr="00415B46" w:rsidRDefault="00544226" w:rsidP="00544226">
            <w:pPr>
              <w:spacing w:after="160" w:line="259" w:lineRule="auto"/>
            </w:pPr>
          </w:p>
          <w:p w:rsidR="00544226" w:rsidRPr="00415B46" w:rsidRDefault="00544226" w:rsidP="00544226">
            <w:pPr>
              <w:spacing w:after="160" w:line="259" w:lineRule="auto"/>
            </w:pPr>
          </w:p>
          <w:p w:rsidR="00544226" w:rsidRPr="00415B46" w:rsidRDefault="00544226" w:rsidP="00544226">
            <w:pPr>
              <w:spacing w:after="160" w:line="259" w:lineRule="auto"/>
            </w:pPr>
          </w:p>
          <w:p w:rsidR="00544226" w:rsidRPr="00415B46" w:rsidRDefault="00544226" w:rsidP="00544226">
            <w:pPr>
              <w:spacing w:after="160" w:line="259" w:lineRule="auto"/>
            </w:pPr>
          </w:p>
          <w:p w:rsidR="00544226" w:rsidRPr="00415B46" w:rsidRDefault="00544226" w:rsidP="00544226">
            <w:pPr>
              <w:spacing w:after="160" w:line="259" w:lineRule="auto"/>
            </w:pPr>
            <w:r w:rsidRPr="00415B46">
              <w:t xml:space="preserve">Subject matter of contract is asset, instead of interest-based loan </w:t>
            </w:r>
          </w:p>
          <w:p w:rsidR="00544226" w:rsidRPr="00415B46" w:rsidRDefault="00544226" w:rsidP="00544226">
            <w:pPr>
              <w:spacing w:after="160" w:line="259" w:lineRule="auto"/>
            </w:pPr>
          </w:p>
          <w:p w:rsidR="00544226" w:rsidRPr="00415B46" w:rsidRDefault="00544226" w:rsidP="00544226">
            <w:pPr>
              <w:spacing w:after="160" w:line="259" w:lineRule="auto"/>
            </w:pPr>
            <w:r w:rsidRPr="00415B46">
              <w:t xml:space="preserve"> Buying and selling of asset by Bank instead of lending and borrowing</w:t>
            </w:r>
            <w:r>
              <w:t xml:space="preserve">. Hence, a price is once locked, no change can be done due to delay in payment or any other reason. </w:t>
            </w:r>
            <w:r w:rsidRPr="00415B46">
              <w:t xml:space="preserve"> </w:t>
            </w:r>
          </w:p>
          <w:p w:rsidR="00544226" w:rsidRPr="00415B46" w:rsidRDefault="00544226" w:rsidP="00544226">
            <w:pPr>
              <w:spacing w:after="160" w:line="259" w:lineRule="auto"/>
            </w:pPr>
          </w:p>
          <w:p w:rsidR="00544226" w:rsidRPr="00415B46" w:rsidRDefault="00544226" w:rsidP="00544226">
            <w:pPr>
              <w:spacing w:after="160" w:line="259" w:lineRule="auto"/>
            </w:pPr>
            <w:r w:rsidRPr="00415B46">
              <w:t>Profit based on trade income (buying and selling of asset) instead of markup on loan</w:t>
            </w:r>
          </w:p>
          <w:p w:rsidR="00544226" w:rsidRPr="00415B46" w:rsidRDefault="00544226" w:rsidP="00544226">
            <w:pPr>
              <w:spacing w:after="160" w:line="259" w:lineRule="auto"/>
            </w:pPr>
            <w:r w:rsidRPr="00415B46">
              <w:t xml:space="preserve"> </w:t>
            </w:r>
          </w:p>
          <w:p w:rsidR="00544226" w:rsidRDefault="00544226" w:rsidP="00544226">
            <w:pPr>
              <w:spacing w:after="160" w:line="259" w:lineRule="auto"/>
            </w:pPr>
            <w:r w:rsidRPr="00415B46">
              <w:t>Inventory risk borne by Bank through direct ownership in asset</w:t>
            </w:r>
            <w:r>
              <w:t>.</w:t>
            </w:r>
          </w:p>
          <w:p w:rsidR="00544226" w:rsidRPr="00415B46" w:rsidRDefault="00544226" w:rsidP="00544226">
            <w:pPr>
              <w:spacing w:after="160" w:line="259" w:lineRule="auto"/>
            </w:pPr>
            <w:r w:rsidRPr="00415B46">
              <w:t xml:space="preserve"> </w:t>
            </w:r>
          </w:p>
          <w:p w:rsidR="00544226" w:rsidRPr="00415B46" w:rsidRDefault="00544226" w:rsidP="00544226">
            <w:pPr>
              <w:spacing w:after="160" w:line="259" w:lineRule="auto"/>
            </w:pPr>
          </w:p>
          <w:p w:rsidR="00544226" w:rsidRDefault="00544226" w:rsidP="00544226">
            <w:pPr>
              <w:spacing w:after="160" w:line="259" w:lineRule="auto"/>
            </w:pPr>
            <w:r w:rsidRPr="00415B46">
              <w:t>No markup/penalty on late payment by customer. Customer may however, undertake to charity certain amount to Bank for charitable purposes in case of late payment</w:t>
            </w:r>
          </w:p>
          <w:p w:rsidR="00544226" w:rsidRDefault="00544226" w:rsidP="00544226">
            <w:pPr>
              <w:spacing w:after="160" w:line="259" w:lineRule="auto"/>
            </w:pPr>
          </w:p>
          <w:p w:rsidR="00544226" w:rsidRDefault="00544226" w:rsidP="00544226">
            <w:pPr>
              <w:spacing w:after="160" w:line="259" w:lineRule="auto"/>
            </w:pPr>
            <w:r>
              <w:t>Step by Step execution of involved contracts, with all of their consequences. in compliance with directives of SB. No fictitious paper filling.</w:t>
            </w:r>
          </w:p>
          <w:p w:rsidR="00544226" w:rsidRDefault="00544226" w:rsidP="00544226">
            <w:pPr>
              <w:spacing w:after="160" w:line="259" w:lineRule="auto"/>
            </w:pPr>
          </w:p>
          <w:p w:rsidR="00544226" w:rsidRPr="00415B46" w:rsidRDefault="00544226" w:rsidP="00544226">
            <w:pPr>
              <w:spacing w:after="160" w:line="259" w:lineRule="auto"/>
            </w:pPr>
          </w:p>
        </w:tc>
      </w:tr>
      <w:tr w:rsidR="00544226" w:rsidRPr="00415B46" w:rsidTr="00415B46">
        <w:trPr>
          <w:trHeight w:val="1449"/>
        </w:trPr>
        <w:tc>
          <w:tcPr>
            <w:tcW w:w="1445" w:type="dxa"/>
          </w:tcPr>
          <w:p w:rsidR="00544226" w:rsidRPr="00415B46" w:rsidRDefault="00544226" w:rsidP="00544226">
            <w:pPr>
              <w:spacing w:after="160" w:line="259" w:lineRule="auto"/>
            </w:pPr>
            <w:r w:rsidRPr="00415B46">
              <w:t>Musawamah</w:t>
            </w:r>
          </w:p>
        </w:tc>
        <w:tc>
          <w:tcPr>
            <w:tcW w:w="2683" w:type="dxa"/>
          </w:tcPr>
          <w:p w:rsidR="00544226" w:rsidRPr="00415B46" w:rsidRDefault="00544226" w:rsidP="00544226">
            <w:pPr>
              <w:spacing w:after="160" w:line="259" w:lineRule="auto"/>
            </w:pPr>
            <w:r w:rsidRPr="00415B46">
              <w:t>Short-term facility where Bank sells specified goods/raw material to customer on deferred/spot payment basis.</w:t>
            </w:r>
          </w:p>
        </w:tc>
        <w:tc>
          <w:tcPr>
            <w:tcW w:w="2987" w:type="dxa"/>
          </w:tcPr>
          <w:p w:rsidR="00544226" w:rsidRPr="00415B46" w:rsidRDefault="00544226" w:rsidP="00544226">
            <w:pPr>
              <w:spacing w:after="160" w:line="259" w:lineRule="auto"/>
            </w:pPr>
            <w:r w:rsidRPr="00415B46">
              <w:t xml:space="preserve">Requirement </w:t>
            </w:r>
            <w:r>
              <w:t xml:space="preserve">for </w:t>
            </w:r>
            <w:r w:rsidRPr="00415B46">
              <w:t xml:space="preserve">Working capital </w:t>
            </w:r>
            <w:r>
              <w:t xml:space="preserve">and </w:t>
            </w:r>
            <w:r w:rsidRPr="00415B46">
              <w:t xml:space="preserve">procurement </w:t>
            </w:r>
            <w:r>
              <w:t xml:space="preserve"> </w:t>
            </w:r>
            <w:r w:rsidRPr="00415B46">
              <w:t xml:space="preserve"> of raw materials and assets.</w:t>
            </w:r>
          </w:p>
          <w:p w:rsidR="00544226" w:rsidRPr="00415B46" w:rsidRDefault="00544226" w:rsidP="00544226">
            <w:pPr>
              <w:spacing w:after="160" w:line="259" w:lineRule="auto"/>
            </w:pPr>
          </w:p>
        </w:tc>
        <w:tc>
          <w:tcPr>
            <w:tcW w:w="4220" w:type="dxa"/>
            <w:vMerge/>
          </w:tcPr>
          <w:p w:rsidR="00544226" w:rsidRPr="00415B46" w:rsidRDefault="00544226" w:rsidP="00544226">
            <w:pPr>
              <w:spacing w:after="160" w:line="259" w:lineRule="auto"/>
            </w:pPr>
          </w:p>
        </w:tc>
      </w:tr>
      <w:tr w:rsidR="00544226" w:rsidRPr="00415B46" w:rsidTr="00415B46">
        <w:trPr>
          <w:trHeight w:val="2309"/>
        </w:trPr>
        <w:tc>
          <w:tcPr>
            <w:tcW w:w="1445" w:type="dxa"/>
          </w:tcPr>
          <w:p w:rsidR="00544226" w:rsidRPr="00415B46" w:rsidRDefault="00544226" w:rsidP="00544226">
            <w:pPr>
              <w:spacing w:after="160" w:line="259" w:lineRule="auto"/>
            </w:pPr>
            <w:r w:rsidRPr="00415B46">
              <w:t>Istisna</w:t>
            </w:r>
          </w:p>
        </w:tc>
        <w:tc>
          <w:tcPr>
            <w:tcW w:w="2683" w:type="dxa"/>
          </w:tcPr>
          <w:p w:rsidR="00544226" w:rsidRPr="00415B46" w:rsidRDefault="00544226" w:rsidP="00544226">
            <w:pPr>
              <w:spacing w:after="160" w:line="259" w:lineRule="auto"/>
            </w:pPr>
            <w:r w:rsidRPr="00415B46">
              <w:t xml:space="preserve">Short-term facility in which Bank orders its customer to manufacture </w:t>
            </w:r>
            <w:r>
              <w:t xml:space="preserve">a specified goods </w:t>
            </w:r>
            <w:r w:rsidRPr="00415B46">
              <w:t>and deliver</w:t>
            </w:r>
            <w:r>
              <w:t xml:space="preserve"> the </w:t>
            </w:r>
            <w:r w:rsidRPr="00415B46">
              <w:t>goods to Bank as per agreed specification. After taking delivery of goods from customer, these goods are sold in the market.</w:t>
            </w:r>
          </w:p>
        </w:tc>
        <w:tc>
          <w:tcPr>
            <w:tcW w:w="2987" w:type="dxa"/>
          </w:tcPr>
          <w:p w:rsidR="00544226" w:rsidRPr="00415B46" w:rsidRDefault="00544226" w:rsidP="00544226">
            <w:pPr>
              <w:spacing w:after="160" w:line="259" w:lineRule="auto"/>
            </w:pPr>
            <w:r w:rsidRPr="00415B46">
              <w:t>Working capital requirement for manufacturing goods against local/export order</w:t>
            </w:r>
          </w:p>
        </w:tc>
        <w:tc>
          <w:tcPr>
            <w:tcW w:w="4220" w:type="dxa"/>
            <w:vMerge/>
          </w:tcPr>
          <w:p w:rsidR="00544226" w:rsidRPr="00415B46" w:rsidRDefault="00544226" w:rsidP="00544226">
            <w:pPr>
              <w:spacing w:after="160" w:line="259" w:lineRule="auto"/>
            </w:pPr>
          </w:p>
        </w:tc>
      </w:tr>
      <w:tr w:rsidR="00544226" w:rsidRPr="00415B46" w:rsidTr="00415B46">
        <w:trPr>
          <w:trHeight w:val="4055"/>
        </w:trPr>
        <w:tc>
          <w:tcPr>
            <w:tcW w:w="1445" w:type="dxa"/>
          </w:tcPr>
          <w:p w:rsidR="00544226" w:rsidRPr="00415B46" w:rsidRDefault="00544226" w:rsidP="00544226">
            <w:pPr>
              <w:spacing w:after="160" w:line="259" w:lineRule="auto"/>
            </w:pPr>
            <w:r w:rsidRPr="00415B46">
              <w:t>Tijarah</w:t>
            </w:r>
          </w:p>
        </w:tc>
        <w:tc>
          <w:tcPr>
            <w:tcW w:w="2683" w:type="dxa"/>
          </w:tcPr>
          <w:p w:rsidR="00544226" w:rsidRPr="00415B46" w:rsidRDefault="00544226" w:rsidP="00544226">
            <w:pPr>
              <w:spacing w:after="160" w:line="259" w:lineRule="auto"/>
            </w:pPr>
            <w:r w:rsidRPr="00FA2FA1">
              <w:t>Short-term facility to meet liquidity requirements of customer where Bank purchases finished goods from the customer on spot. After taking possession of goods by the bank, goods are sold in the market.</w:t>
            </w:r>
            <w:r w:rsidRPr="00415B46">
              <w:t>jarah Finance – Local</w:t>
            </w:r>
          </w:p>
          <w:p w:rsidR="00544226" w:rsidRPr="00415B46" w:rsidRDefault="00544226" w:rsidP="00544226">
            <w:pPr>
              <w:spacing w:after="160" w:line="259" w:lineRule="auto"/>
            </w:pPr>
            <w:r w:rsidRPr="00415B46">
              <w:t>Tijarah Finance – Exports</w:t>
            </w:r>
          </w:p>
          <w:p w:rsidR="00544226" w:rsidRPr="00415B46" w:rsidRDefault="00544226" w:rsidP="00544226">
            <w:pPr>
              <w:spacing w:after="160" w:line="259" w:lineRule="auto"/>
            </w:pPr>
            <w:r w:rsidRPr="00415B46">
              <w:t xml:space="preserve"> Islamic Export Refinance Facility under Tijarah Finance</w:t>
            </w:r>
          </w:p>
        </w:tc>
        <w:tc>
          <w:tcPr>
            <w:tcW w:w="2987" w:type="dxa"/>
          </w:tcPr>
          <w:p w:rsidR="00544226" w:rsidRPr="00415B46" w:rsidRDefault="00544226" w:rsidP="00544226">
            <w:pPr>
              <w:spacing w:after="160" w:line="259" w:lineRule="auto"/>
            </w:pPr>
            <w:r w:rsidRPr="00415B46">
              <w:t xml:space="preserve">Liquidity requirement against finished goods. </w:t>
            </w:r>
          </w:p>
        </w:tc>
        <w:tc>
          <w:tcPr>
            <w:tcW w:w="4220" w:type="dxa"/>
            <w:vMerge/>
          </w:tcPr>
          <w:p w:rsidR="00544226" w:rsidRPr="00415B46" w:rsidRDefault="00544226" w:rsidP="00544226">
            <w:pPr>
              <w:spacing w:after="160" w:line="259" w:lineRule="auto"/>
            </w:pPr>
          </w:p>
        </w:tc>
      </w:tr>
      <w:tr w:rsidR="00544226" w:rsidRPr="00415B46" w:rsidTr="00415B46">
        <w:trPr>
          <w:trHeight w:val="2604"/>
        </w:trPr>
        <w:tc>
          <w:tcPr>
            <w:tcW w:w="1445" w:type="dxa"/>
          </w:tcPr>
          <w:p w:rsidR="00544226" w:rsidRPr="00415B46" w:rsidRDefault="00544226" w:rsidP="00544226">
            <w:pPr>
              <w:spacing w:after="160" w:line="259" w:lineRule="auto"/>
            </w:pPr>
            <w:r w:rsidRPr="00415B46">
              <w:t>Salam</w:t>
            </w:r>
          </w:p>
        </w:tc>
        <w:tc>
          <w:tcPr>
            <w:tcW w:w="2683" w:type="dxa"/>
          </w:tcPr>
          <w:p w:rsidR="00544226" w:rsidRPr="00415B46" w:rsidRDefault="00544226" w:rsidP="00544226">
            <w:pPr>
              <w:spacing w:after="160" w:line="259" w:lineRule="auto"/>
            </w:pPr>
            <w:r w:rsidRPr="00415B46">
              <w:t>Short-term facility where Bank purchases homogenous commodity from customer to be delivered at a future date against full advance payment. After taking physical delivery from customer, goods are sold in the market.</w:t>
            </w:r>
          </w:p>
        </w:tc>
        <w:tc>
          <w:tcPr>
            <w:tcW w:w="2987" w:type="dxa"/>
          </w:tcPr>
          <w:p w:rsidR="00544226" w:rsidRPr="00415B46" w:rsidRDefault="00544226" w:rsidP="00544226">
            <w:pPr>
              <w:spacing w:after="160" w:line="259" w:lineRule="auto"/>
            </w:pPr>
            <w:r w:rsidRPr="00415B46">
              <w:t>Working capital finance for homogenous goods to be available in future.</w:t>
            </w:r>
          </w:p>
        </w:tc>
        <w:tc>
          <w:tcPr>
            <w:tcW w:w="4220" w:type="dxa"/>
            <w:vMerge/>
          </w:tcPr>
          <w:p w:rsidR="00544226" w:rsidRPr="00415B46" w:rsidRDefault="00544226" w:rsidP="00544226">
            <w:pPr>
              <w:spacing w:after="160" w:line="259" w:lineRule="auto"/>
            </w:pPr>
          </w:p>
        </w:tc>
      </w:tr>
      <w:tr w:rsidR="00544226" w:rsidRPr="00415B46" w:rsidTr="00415B46">
        <w:trPr>
          <w:trHeight w:val="1449"/>
        </w:trPr>
        <w:tc>
          <w:tcPr>
            <w:tcW w:w="1445" w:type="dxa"/>
          </w:tcPr>
          <w:p w:rsidR="00544226" w:rsidRPr="00415B46" w:rsidRDefault="00544226" w:rsidP="00544226">
            <w:pPr>
              <w:spacing w:after="160" w:line="259" w:lineRule="auto"/>
            </w:pPr>
            <w:r w:rsidRPr="00415B46">
              <w:lastRenderedPageBreak/>
              <w:t xml:space="preserve">Running Musharakah </w:t>
            </w:r>
          </w:p>
          <w:p w:rsidR="00544226" w:rsidRPr="00415B46" w:rsidRDefault="00544226" w:rsidP="00544226">
            <w:pPr>
              <w:spacing w:after="160" w:line="259" w:lineRule="auto"/>
            </w:pPr>
          </w:p>
        </w:tc>
        <w:tc>
          <w:tcPr>
            <w:tcW w:w="2683" w:type="dxa"/>
          </w:tcPr>
          <w:p w:rsidR="00544226" w:rsidRPr="00415B46" w:rsidRDefault="00544226" w:rsidP="00544226">
            <w:pPr>
              <w:spacing w:after="160" w:line="259" w:lineRule="auto"/>
            </w:pPr>
            <w:r w:rsidRPr="00415B46">
              <w:t xml:space="preserve">Short to medium-term facility where Bank creates partnership with customer in its operating activities. Profit is shared between Bank and customer as per pre agreed profit sharing ratio whereas loss is shared by both parties in percentage to their investments. </w:t>
            </w:r>
          </w:p>
          <w:p w:rsidR="00544226" w:rsidRPr="00415B46" w:rsidRDefault="00544226" w:rsidP="00544226">
            <w:pPr>
              <w:spacing w:after="160" w:line="259" w:lineRule="auto"/>
            </w:pPr>
          </w:p>
        </w:tc>
        <w:tc>
          <w:tcPr>
            <w:tcW w:w="2987" w:type="dxa"/>
          </w:tcPr>
          <w:p w:rsidR="00544226" w:rsidRPr="00415B46" w:rsidRDefault="00544226" w:rsidP="00544226">
            <w:pPr>
              <w:spacing w:after="160" w:line="259" w:lineRule="auto"/>
            </w:pPr>
            <w:r w:rsidRPr="00415B46">
              <w:t xml:space="preserve">Alternative to conventional running finance product. </w:t>
            </w:r>
          </w:p>
          <w:p w:rsidR="00544226" w:rsidRPr="00415B46" w:rsidRDefault="00544226" w:rsidP="00544226">
            <w:pPr>
              <w:spacing w:after="160" w:line="259" w:lineRule="auto"/>
            </w:pPr>
          </w:p>
        </w:tc>
        <w:tc>
          <w:tcPr>
            <w:tcW w:w="4220" w:type="dxa"/>
          </w:tcPr>
          <w:p w:rsidR="00544226" w:rsidRDefault="00544226" w:rsidP="00544226">
            <w:pPr>
              <w:spacing w:after="160" w:line="259" w:lineRule="auto"/>
            </w:pPr>
            <w:r w:rsidRPr="00415B46">
              <w:t>Contract of partnership instead of interest-based loan Income based on actual profit earned by entity during subject period instead of predetermined rate of interest.</w:t>
            </w:r>
          </w:p>
          <w:p w:rsidR="00544226" w:rsidRDefault="00544226" w:rsidP="00544226">
            <w:pPr>
              <w:spacing w:after="160" w:line="259" w:lineRule="auto"/>
            </w:pPr>
          </w:p>
          <w:p w:rsidR="00544226" w:rsidRDefault="00544226" w:rsidP="00544226">
            <w:pPr>
              <w:spacing w:after="160" w:line="259" w:lineRule="auto"/>
            </w:pPr>
            <w:r>
              <w:t>Risk of Loss as per investment ratio is borne throughout the Musharakah tenure by the partner.</w:t>
            </w:r>
          </w:p>
          <w:p w:rsidR="00544226" w:rsidRPr="00415B46" w:rsidRDefault="00544226" w:rsidP="00544226">
            <w:pPr>
              <w:spacing w:after="160" w:line="259" w:lineRule="auto"/>
            </w:pPr>
            <w:r>
              <w:t xml:space="preserve"> </w:t>
            </w:r>
          </w:p>
          <w:p w:rsidR="00544226" w:rsidRPr="00415B46" w:rsidRDefault="00544226" w:rsidP="00544226">
            <w:pPr>
              <w:spacing w:after="160" w:line="259" w:lineRule="auto"/>
            </w:pPr>
          </w:p>
        </w:tc>
      </w:tr>
      <w:tr w:rsidR="00544226" w:rsidRPr="00415B46" w:rsidTr="00415B46">
        <w:trPr>
          <w:trHeight w:val="4055"/>
        </w:trPr>
        <w:tc>
          <w:tcPr>
            <w:tcW w:w="1445" w:type="dxa"/>
          </w:tcPr>
          <w:p w:rsidR="00544226" w:rsidRPr="00415B46" w:rsidRDefault="00544226" w:rsidP="00544226">
            <w:pPr>
              <w:spacing w:after="160" w:line="259" w:lineRule="auto"/>
            </w:pPr>
            <w:r w:rsidRPr="00415B46">
              <w:t>Ijarah</w:t>
            </w:r>
          </w:p>
        </w:tc>
        <w:tc>
          <w:tcPr>
            <w:tcW w:w="2683" w:type="dxa"/>
          </w:tcPr>
          <w:p w:rsidR="00544226" w:rsidRPr="00415B46" w:rsidRDefault="00544226" w:rsidP="00544226">
            <w:pPr>
              <w:spacing w:after="160" w:line="259" w:lineRule="auto"/>
            </w:pPr>
            <w:r w:rsidRPr="00415B46">
              <w:t xml:space="preserve"> Ijarah refers to a transaction where the corpus of leased assets remains in the ownership of the Lessor and the Lessee is allowed to benefit from the usefulness of these assets (i.e., their usufruct) for a consideration. Only those assets can be leased which can be used while retaining their original form, e.g., land, building, machinery, tools, crockery &amp; cutlery.</w:t>
            </w:r>
          </w:p>
        </w:tc>
        <w:tc>
          <w:tcPr>
            <w:tcW w:w="2987" w:type="dxa"/>
          </w:tcPr>
          <w:p w:rsidR="00544226" w:rsidRPr="00415B46" w:rsidRDefault="00544226" w:rsidP="00544226">
            <w:pPr>
              <w:spacing w:after="160" w:line="259" w:lineRule="auto"/>
            </w:pPr>
            <w:r w:rsidRPr="00415B46">
              <w:t xml:space="preserve">Procurement of plant, vehicle, machinery, equipment. </w:t>
            </w:r>
          </w:p>
          <w:p w:rsidR="00544226" w:rsidRPr="00415B46" w:rsidRDefault="00544226" w:rsidP="00544226">
            <w:pPr>
              <w:spacing w:after="160" w:line="259" w:lineRule="auto"/>
            </w:pPr>
          </w:p>
        </w:tc>
        <w:tc>
          <w:tcPr>
            <w:tcW w:w="4220" w:type="dxa"/>
          </w:tcPr>
          <w:p w:rsidR="00544226" w:rsidRPr="00415B46" w:rsidRDefault="00544226" w:rsidP="00544226">
            <w:pPr>
              <w:spacing w:after="160" w:line="259" w:lineRule="auto"/>
            </w:pPr>
            <w:r w:rsidRPr="00415B46">
              <w:t xml:space="preserve">Contract of Islamic leasing instead of loan </w:t>
            </w:r>
          </w:p>
          <w:p w:rsidR="00544226" w:rsidRPr="00415B46" w:rsidRDefault="00544226" w:rsidP="00544226">
            <w:pPr>
              <w:spacing w:after="160" w:line="259" w:lineRule="auto"/>
            </w:pPr>
            <w:r w:rsidRPr="00415B46">
              <w:t>Rental to start after delivery of asset instead of disbursement date.</w:t>
            </w:r>
          </w:p>
          <w:p w:rsidR="00544226" w:rsidRPr="00415B46" w:rsidRDefault="00544226" w:rsidP="00544226">
            <w:pPr>
              <w:spacing w:after="160" w:line="259" w:lineRule="auto"/>
            </w:pPr>
            <w:r w:rsidRPr="00415B46">
              <w:t xml:space="preserve">Rental to stop if asset is unusable or destroyed </w:t>
            </w:r>
          </w:p>
          <w:p w:rsidR="00544226" w:rsidRPr="00415B46" w:rsidRDefault="00544226" w:rsidP="00544226">
            <w:pPr>
              <w:spacing w:after="160" w:line="259" w:lineRule="auto"/>
            </w:pPr>
            <w:r w:rsidRPr="00415B46">
              <w:t xml:space="preserve">Risk of asset is borne by Bank during lease of tenure unless misconduct, fraud or negligence is proven on part of customer </w:t>
            </w:r>
          </w:p>
          <w:p w:rsidR="00544226" w:rsidRPr="00415B46" w:rsidRDefault="00544226" w:rsidP="00544226">
            <w:pPr>
              <w:spacing w:after="160" w:line="259" w:lineRule="auto"/>
            </w:pPr>
            <w:r w:rsidRPr="00415B46">
              <w:t xml:space="preserve">Ownership related expenses borne by Bank </w:t>
            </w:r>
          </w:p>
          <w:p w:rsidR="00544226" w:rsidRPr="00415B46" w:rsidRDefault="00544226" w:rsidP="00544226">
            <w:pPr>
              <w:spacing w:after="160" w:line="259" w:lineRule="auto"/>
            </w:pPr>
            <w:r w:rsidRPr="00415B46">
              <w:t xml:space="preserve">No markup/penalty on late payment by customer. Customer may however, undertake to charity certain amount to Bank for charitable purposes in case of late payment </w:t>
            </w:r>
          </w:p>
          <w:p w:rsidR="00544226" w:rsidRPr="00415B46" w:rsidRDefault="00544226" w:rsidP="00544226">
            <w:pPr>
              <w:spacing w:after="160" w:line="259" w:lineRule="auto"/>
            </w:pPr>
          </w:p>
        </w:tc>
      </w:tr>
      <w:tr w:rsidR="00544226" w:rsidRPr="00415B46" w:rsidTr="00415B46">
        <w:trPr>
          <w:trHeight w:val="4632"/>
        </w:trPr>
        <w:tc>
          <w:tcPr>
            <w:tcW w:w="1445" w:type="dxa"/>
          </w:tcPr>
          <w:p w:rsidR="00544226" w:rsidRPr="00415B46" w:rsidRDefault="00544226" w:rsidP="00544226">
            <w:pPr>
              <w:spacing w:after="160" w:line="259" w:lineRule="auto"/>
            </w:pPr>
            <w:r w:rsidRPr="00415B46">
              <w:t xml:space="preserve">Diminishing Musharakah </w:t>
            </w:r>
          </w:p>
          <w:p w:rsidR="00544226" w:rsidRPr="00415B46" w:rsidRDefault="00544226" w:rsidP="00544226">
            <w:pPr>
              <w:spacing w:after="160" w:line="259" w:lineRule="auto"/>
            </w:pPr>
          </w:p>
        </w:tc>
        <w:tc>
          <w:tcPr>
            <w:tcW w:w="2683" w:type="dxa"/>
          </w:tcPr>
          <w:p w:rsidR="00544226" w:rsidRPr="00415B46" w:rsidRDefault="00544226" w:rsidP="00544226">
            <w:pPr>
              <w:spacing w:after="160" w:line="259" w:lineRule="auto"/>
            </w:pPr>
            <w:r w:rsidRPr="00415B46">
              <w:t xml:space="preserve">Medium to long-term facility   Diminishing Musharakah (DM) is a form of co-ownership in which two or more people share the ownership of </w:t>
            </w:r>
            <w:r>
              <w:t>the</w:t>
            </w:r>
            <w:r w:rsidRPr="00415B46">
              <w:t xml:space="preserve"> asset in an agreed proportion and one of the co-owners undertakes to buy in periodic installments the proportionate share of the other co-owner until the title to such tangible asset is completely transferred to the purchasing co-owner.</w:t>
            </w:r>
          </w:p>
          <w:p w:rsidR="00544226" w:rsidRPr="00415B46" w:rsidRDefault="00544226" w:rsidP="00544226">
            <w:pPr>
              <w:spacing w:after="160" w:line="259" w:lineRule="auto"/>
            </w:pPr>
          </w:p>
        </w:tc>
        <w:tc>
          <w:tcPr>
            <w:tcW w:w="2987" w:type="dxa"/>
          </w:tcPr>
          <w:p w:rsidR="00544226" w:rsidRPr="00415B46" w:rsidRDefault="00544226" w:rsidP="00544226">
            <w:pPr>
              <w:spacing w:after="160" w:line="259" w:lineRule="auto"/>
            </w:pPr>
            <w:r w:rsidRPr="00415B46">
              <w:lastRenderedPageBreak/>
              <w:t xml:space="preserve">Procurement of plant, vehicle, machinery, equipment. </w:t>
            </w:r>
          </w:p>
        </w:tc>
        <w:tc>
          <w:tcPr>
            <w:tcW w:w="4220" w:type="dxa"/>
          </w:tcPr>
          <w:p w:rsidR="00544226" w:rsidRPr="00415B46" w:rsidRDefault="00544226" w:rsidP="00544226">
            <w:pPr>
              <w:spacing w:after="160" w:line="259" w:lineRule="auto"/>
            </w:pPr>
            <w:r w:rsidRPr="00415B46">
              <w:t xml:space="preserve">Contract of </w:t>
            </w:r>
            <w:r>
              <w:t xml:space="preserve">ownership </w:t>
            </w:r>
            <w:r w:rsidRPr="00415B46">
              <w:t>partnership</w:t>
            </w:r>
            <w:r>
              <w:t xml:space="preserve">-cum- Leasing </w:t>
            </w:r>
            <w:r w:rsidRPr="00415B46">
              <w:t>instead of loan.</w:t>
            </w:r>
          </w:p>
          <w:p w:rsidR="00544226" w:rsidRPr="00415B46" w:rsidRDefault="00544226" w:rsidP="00544226">
            <w:pPr>
              <w:spacing w:after="160" w:line="259" w:lineRule="auto"/>
            </w:pPr>
            <w:r w:rsidRPr="00415B46">
              <w:t xml:space="preserve">Rental to start after delivery of asset to customer </w:t>
            </w:r>
          </w:p>
          <w:p w:rsidR="00544226" w:rsidRPr="00415B46" w:rsidRDefault="00544226" w:rsidP="00544226">
            <w:pPr>
              <w:spacing w:after="160" w:line="259" w:lineRule="auto"/>
            </w:pPr>
            <w:r w:rsidRPr="00415B46">
              <w:t xml:space="preserve">Rental to stop if asset is unusable or destroyed </w:t>
            </w:r>
          </w:p>
          <w:p w:rsidR="00544226" w:rsidRPr="00415B46" w:rsidRDefault="00544226" w:rsidP="00544226">
            <w:pPr>
              <w:spacing w:after="160" w:line="259" w:lineRule="auto"/>
            </w:pPr>
            <w:r w:rsidRPr="00415B46">
              <w:t xml:space="preserve"> Risk of asset is borne by Bank for its share unless misconduct, fraud or negligence on part of </w:t>
            </w:r>
            <w:r w:rsidR="00A043D7" w:rsidRPr="00415B46">
              <w:t>customer markup</w:t>
            </w:r>
            <w:r w:rsidRPr="00415B46">
              <w:t xml:space="preserve">/penalty on late payment by customer. </w:t>
            </w:r>
          </w:p>
          <w:p w:rsidR="000F256C" w:rsidRPr="00415B46" w:rsidRDefault="00544226" w:rsidP="00544226">
            <w:pPr>
              <w:spacing w:after="160" w:line="259" w:lineRule="auto"/>
            </w:pPr>
            <w:r w:rsidRPr="00415B46">
              <w:t xml:space="preserve">Customer may however, undertake to charity certain amount to bank for charitable purposes in case of late payment </w:t>
            </w:r>
          </w:p>
        </w:tc>
      </w:tr>
    </w:tbl>
    <w:p w:rsidR="00024D62" w:rsidRDefault="00024D62">
      <w:bookmarkStart w:id="0" w:name="_GoBack"/>
      <w:bookmarkEnd w:id="0"/>
    </w:p>
    <w:p w:rsidR="00024D62" w:rsidRDefault="00024D62"/>
    <w:p w:rsidR="00024D62" w:rsidRDefault="00024D62"/>
    <w:sectPr w:rsidR="00024D62" w:rsidSect="005B5D2C">
      <w:headerReference w:type="even" r:id="rId7"/>
      <w:headerReference w:type="default" r:id="rId8"/>
      <w:headerReference w:type="first" r:id="rId9"/>
      <w:pgSz w:w="11906" w:h="16838"/>
      <w:pgMar w:top="446"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60" w:rsidRDefault="00552B60" w:rsidP="00000A87">
      <w:pPr>
        <w:spacing w:after="0" w:line="240" w:lineRule="auto"/>
      </w:pPr>
      <w:r>
        <w:separator/>
      </w:r>
    </w:p>
  </w:endnote>
  <w:endnote w:type="continuationSeparator" w:id="0">
    <w:p w:rsidR="00552B60" w:rsidRDefault="00552B60" w:rsidP="0000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60" w:rsidRDefault="00552B60" w:rsidP="00000A87">
      <w:pPr>
        <w:spacing w:after="0" w:line="240" w:lineRule="auto"/>
      </w:pPr>
      <w:r>
        <w:separator/>
      </w:r>
    </w:p>
  </w:footnote>
  <w:footnote w:type="continuationSeparator" w:id="0">
    <w:p w:rsidR="00552B60" w:rsidRDefault="00552B60" w:rsidP="00000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87" w:rsidRDefault="00552B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412422" o:spid="_x0000_s2050" type="#_x0000_t75" style="position:absolute;margin-left:0;margin-top:0;width:451.15pt;height:411.05pt;z-index:-251657216;mso-position-horizontal:center;mso-position-horizontal-relative:margin;mso-position-vertical:center;mso-position-vertical-relative:margin" o:allowincell="f">
          <v:imagedata r:id="rId1" o:title="347002338_733381682124925_669116890985448952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87" w:rsidRDefault="00552B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412423" o:spid="_x0000_s2051" type="#_x0000_t75" style="position:absolute;margin-left:0;margin-top:0;width:451.15pt;height:411.05pt;z-index:-251656192;mso-position-horizontal:center;mso-position-horizontal-relative:margin;mso-position-vertical:center;mso-position-vertical-relative:margin" o:allowincell="f">
          <v:imagedata r:id="rId1" o:title="347002338_733381682124925_669116890985448952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87" w:rsidRDefault="00552B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412421" o:spid="_x0000_s2049" type="#_x0000_t75" style="position:absolute;margin-left:0;margin-top:0;width:451.15pt;height:411.05pt;z-index:-251658240;mso-position-horizontal:center;mso-position-horizontal-relative:margin;mso-position-vertical:center;mso-position-vertical-relative:margin" o:allowincell="f">
          <v:imagedata r:id="rId1" o:title="347002338_733381682124925_669116890985448952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62"/>
    <w:rsid w:val="00000A87"/>
    <w:rsid w:val="00024D62"/>
    <w:rsid w:val="0003510F"/>
    <w:rsid w:val="000B0CBF"/>
    <w:rsid w:val="000F256C"/>
    <w:rsid w:val="001314B4"/>
    <w:rsid w:val="00194369"/>
    <w:rsid w:val="00243C69"/>
    <w:rsid w:val="002649AF"/>
    <w:rsid w:val="00281F36"/>
    <w:rsid w:val="003A1C73"/>
    <w:rsid w:val="00415B46"/>
    <w:rsid w:val="0046057F"/>
    <w:rsid w:val="00544226"/>
    <w:rsid w:val="00552B60"/>
    <w:rsid w:val="00570C66"/>
    <w:rsid w:val="005861A6"/>
    <w:rsid w:val="005B5D2C"/>
    <w:rsid w:val="00636929"/>
    <w:rsid w:val="006E12BD"/>
    <w:rsid w:val="007A0513"/>
    <w:rsid w:val="0082237B"/>
    <w:rsid w:val="00881A82"/>
    <w:rsid w:val="008C3B33"/>
    <w:rsid w:val="008F5CD0"/>
    <w:rsid w:val="00A043D7"/>
    <w:rsid w:val="00A50626"/>
    <w:rsid w:val="00D0238A"/>
    <w:rsid w:val="00E61607"/>
    <w:rsid w:val="00FA2FA1"/>
    <w:rsid w:val="00FF7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DDA56CC-79D8-4A8E-B76F-70699E46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D6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0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A87"/>
  </w:style>
  <w:style w:type="paragraph" w:styleId="Footer">
    <w:name w:val="footer"/>
    <w:basedOn w:val="Normal"/>
    <w:link w:val="FooterChar"/>
    <w:uiPriority w:val="99"/>
    <w:unhideWhenUsed/>
    <w:rsid w:val="0000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A87"/>
  </w:style>
  <w:style w:type="paragraph" w:styleId="BalloonText">
    <w:name w:val="Balloon Text"/>
    <w:basedOn w:val="Normal"/>
    <w:link w:val="BalloonTextChar"/>
    <w:uiPriority w:val="99"/>
    <w:semiHidden/>
    <w:unhideWhenUsed/>
    <w:rsid w:val="00194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2B45-3D0C-43E5-9196-360BB08A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Raza Bhatti - 13664</dc:creator>
  <cp:keywords/>
  <dc:description/>
  <cp:lastModifiedBy>Mohsin Raza Bhatti - 13664</cp:lastModifiedBy>
  <cp:revision>10</cp:revision>
  <dcterms:created xsi:type="dcterms:W3CDTF">2023-10-09T06:00:00Z</dcterms:created>
  <dcterms:modified xsi:type="dcterms:W3CDTF">2023-10-10T04:49:00Z</dcterms:modified>
</cp:coreProperties>
</file>